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2018年度新疆喀什地区英吉沙县托甫洛克乡中学部门决算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新疆喀什地区英吉沙县托甫洛克乡中学</w:t>
      </w:r>
      <w:r>
        <w:rPr>
          <w:rFonts w:hint="eastAsia" w:ascii="仿宋_GB2312" w:eastAsia="仿宋_GB2312"/>
          <w:sz w:val="32"/>
          <w:szCs w:val="32"/>
        </w:rPr>
        <w:t>部门决算包括：</w:t>
      </w:r>
      <w:r>
        <w:rPr>
          <w:rFonts w:ascii="仿宋_GB2312" w:eastAsia="仿宋_GB2312"/>
          <w:sz w:val="32"/>
          <w:szCs w:val="32"/>
        </w:rPr>
        <w:t>新疆喀什地区英吉沙县托甫洛克乡中学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新疆喀什地区英吉沙县托甫洛克乡中学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新疆喀什地区英吉沙县托甫洛克乡中学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595.36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，与上年相比，减少491.46万元，下降45.22%，减少的主要原因是：</w:t>
      </w:r>
      <w:r>
        <w:rPr>
          <w:rFonts w:hint="eastAsia" w:ascii="仿宋_GB2312" w:eastAsia="仿宋_GB2312"/>
          <w:color w:val="000000" w:themeColor="text1"/>
          <w:sz w:val="32"/>
          <w:szCs w:val="32"/>
        </w:rPr>
        <w:t>学生数减少、生生活补助资金一学期未下达；</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，与上年相比，减少498.31万元，下降45.85%，减少的主要原因是：</w:t>
      </w:r>
      <w:r>
        <w:rPr>
          <w:rFonts w:hint="eastAsia" w:ascii="仿宋_GB2312" w:eastAsia="仿宋_GB2312"/>
          <w:color w:val="000000" w:themeColor="text1"/>
          <w:sz w:val="32"/>
          <w:szCs w:val="32"/>
        </w:rPr>
        <w:t>学生数减少、生生活补助资金一学期未下达；</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6.85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，与上年相比，增加6.85万元，增长100%，增加的主要原因是：</w:t>
      </w:r>
      <w:r>
        <w:rPr>
          <w:rFonts w:ascii="仿宋_GB2312" w:eastAsia="仿宋_GB2312"/>
          <w:color w:val="000000" w:themeColor="text1"/>
          <w:sz w:val="32"/>
          <w:szCs w:val="32"/>
        </w:rPr>
        <w:t>经费未使用完毕。</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595.36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595.36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况：本年收入年初预算数411.73万元</w:t>
      </w:r>
      <w:r>
        <w:rPr>
          <w:rFonts w:hint="eastAsia" w:ascii="仿宋_GB2312" w:eastAsia="仿宋_GB2312"/>
          <w:sz w:val="32"/>
          <w:szCs w:val="32"/>
        </w:rPr>
        <w:t>，决算数595.36万元</w:t>
      </w:r>
      <w:r>
        <w:rPr>
          <w:rFonts w:ascii="仿宋_GB2312" w:eastAsia="仿宋_GB2312"/>
          <w:sz w:val="32"/>
          <w:szCs w:val="32"/>
        </w:rPr>
        <w:t>，预决算差异率44.6%，差异主要原因是特岗教师工资上调。</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588.51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544.8</w:t>
      </w:r>
      <w:r>
        <w:rPr>
          <w:rFonts w:hint="eastAsia" w:ascii="仿宋_GB2312" w:eastAsia="仿宋_GB2312"/>
          <w:color w:val="000000" w:themeColor="text1"/>
          <w:sz w:val="32"/>
          <w:szCs w:val="32"/>
        </w:rPr>
        <w:t>万元，占</w:t>
      </w:r>
      <w:r>
        <w:rPr>
          <w:rFonts w:hint="eastAsia" w:ascii="仿宋_GB2312" w:eastAsia="仿宋_GB2312"/>
          <w:sz w:val="32"/>
          <w:szCs w:val="32"/>
        </w:rPr>
        <w:t>92.57%</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43.71</w:t>
      </w:r>
      <w:r>
        <w:rPr>
          <w:rFonts w:hint="eastAsia" w:ascii="仿宋_GB2312" w:eastAsia="仿宋_GB2312"/>
          <w:color w:val="000000" w:themeColor="text1"/>
          <w:sz w:val="32"/>
          <w:szCs w:val="32"/>
        </w:rPr>
        <w:t>万元，占</w:t>
      </w:r>
      <w:r>
        <w:rPr>
          <w:rFonts w:hint="eastAsia" w:ascii="仿宋_GB2312" w:eastAsia="仿宋_GB2312"/>
          <w:sz w:val="32"/>
          <w:szCs w:val="32"/>
        </w:rPr>
        <w:t>7.43%</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与年初预算数相比情况：本年支出年初预算数411.73万元，</w:t>
      </w:r>
      <w:r>
        <w:rPr>
          <w:rFonts w:hint="eastAsia" w:ascii="仿宋_GB2312" w:eastAsia="仿宋_GB2312"/>
          <w:sz w:val="32"/>
          <w:szCs w:val="32"/>
        </w:rPr>
        <w:t>决算数588.51万元</w:t>
      </w:r>
      <w:r>
        <w:rPr>
          <w:rFonts w:ascii="仿宋_GB2312" w:eastAsia="仿宋_GB2312"/>
          <w:sz w:val="32"/>
          <w:szCs w:val="32"/>
        </w:rPr>
        <w:t>，预决算差异率42.94%，差异主要原因是特岗教师工资上调。</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595.36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，与上年相比，减少491.46万元，下降45.22%，减少的主要原因是：学生数减少、生生活补助资金一学期未下达。</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588.51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，与上年相比，减少498.31万元，下降45.85%，减少的主要原因是：</w:t>
      </w:r>
      <w:r>
        <w:rPr>
          <w:rFonts w:ascii="仿宋_GB2312" w:eastAsia="仿宋_GB2312"/>
          <w:sz w:val="32"/>
          <w:szCs w:val="32"/>
        </w:rPr>
        <w:t>学生数减少、生生活补助资金一学期未下达。</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544.8</w:t>
      </w:r>
      <w:r>
        <w:rPr>
          <w:rFonts w:hint="eastAsia" w:ascii="仿宋_GB2312" w:eastAsia="仿宋_GB2312"/>
          <w:color w:val="000000" w:themeColor="text1"/>
          <w:sz w:val="32"/>
          <w:szCs w:val="32"/>
        </w:rPr>
        <w:t>万元，项目支出</w:t>
      </w:r>
      <w:r>
        <w:rPr>
          <w:rFonts w:hint="eastAsia" w:ascii="仿宋_GB2312" w:eastAsia="仿宋_GB2312"/>
          <w:sz w:val="32"/>
          <w:szCs w:val="32"/>
        </w:rPr>
        <w:t>43.71</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6.85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，与上年相比，增加6.85万元，增长100%，增加的主要原因是：经费未使用完毕。</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411.73</w:t>
      </w:r>
      <w:r>
        <w:rPr>
          <w:rFonts w:hint="eastAsia" w:ascii="仿宋_GB2312" w:eastAsia="仿宋_GB2312"/>
          <w:color w:val="000000" w:themeColor="text1"/>
          <w:sz w:val="32"/>
          <w:szCs w:val="32"/>
        </w:rPr>
        <w:t>万元，决算数</w:t>
      </w:r>
      <w:r>
        <w:rPr>
          <w:rFonts w:hint="eastAsia" w:ascii="仿宋_GB2312" w:eastAsia="仿宋_GB2312"/>
          <w:sz w:val="32"/>
          <w:szCs w:val="32"/>
        </w:rPr>
        <w:t>595.36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，预决算差异率44.6%，差异主要原因是特岗教师工资上调。</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411.73</w:t>
      </w:r>
      <w:r>
        <w:rPr>
          <w:rFonts w:hint="eastAsia" w:ascii="仿宋_GB2312" w:eastAsia="仿宋_GB2312"/>
          <w:color w:val="000000" w:themeColor="text1"/>
          <w:sz w:val="32"/>
          <w:szCs w:val="32"/>
        </w:rPr>
        <w:t>万元，决算数</w:t>
      </w:r>
      <w:r>
        <w:rPr>
          <w:rFonts w:hint="eastAsia" w:ascii="仿宋_GB2312" w:eastAsia="仿宋_GB2312"/>
          <w:sz w:val="32"/>
          <w:szCs w:val="32"/>
        </w:rPr>
        <w:t>588.51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，预决算差异率42.94%，差异主要原因是特岗教师工资上调。</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595.36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，与上年相比，减少491.46万元，下降45.22%，减少的主要原因是：学生数减少、生生活补助资金一学期未下达。</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588.51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，与上年相比，减少498.31万元，下降45.85%，减少的主要原因是：学生数减少、生生活补助资金一学期未下达。</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教育支出529.44万元,社会保障和就业支出59.07万元。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工资福利支出526.33万元,商品和服务支出24.57万元,对个人和家庭的补助37.61万元。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411.73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595.36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，预决算差异率44.6%，差异主要原因是特岗教师工资上调。</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411.73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588.51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，预决算差异率42.94%，差异主要原因是特岗教师工资上调。</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6.85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。与上年相比，增加6.85万元，增长100%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6.85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。与上年相比，增加6.85万元，增长100%。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79"/>
      <w:bookmarkStart w:id="49"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托甫洛克乡中</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4"/>
      <w:bookmarkStart w:id="52" w:name="OLE_LINK35"/>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1"/>
      <w:bookmarkStart w:id="59"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托甫洛克乡中学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hint="eastAsia" w:ascii="仿宋_GB2312" w:eastAsia="仿宋_GB2312"/>
          <w:color w:val="00000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8"/>
      <w:bookmarkStart w:id="67"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托甫洛克乡中学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托甫洛克乡中学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托甫洛克乡中学2018年度部门预算总额为43.71万元，执行金额为43.71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firstLine="640" w:firstLineChars="200"/>
        <w:rPr>
          <w:rFonts w:ascii="仿宋_GB2312" w:eastAsia="仿宋_GB2312"/>
          <w:sz w:val="32"/>
          <w:szCs w:val="32"/>
        </w:rPr>
      </w:pP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24.57万元，执行数为24.57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、农村义务教育学生营养改善计划国家试点县市补助资金项目绩效自评综述：根据年初设定的绩效目标，该项目绩效自评得分为95分。项目全年预算数为19.14万元，执行数为19.14万元，完成预算的100%。主要产</w:t>
      </w:r>
      <w:bookmarkStart w:id="75" w:name="_GoBack"/>
      <w:bookmarkEnd w:id="75"/>
      <w:r>
        <w:rPr>
          <w:rFonts w:ascii="仿宋_GB2312" w:hAnsi="仿宋_GB2312" w:eastAsia="仿宋_GB2312" w:cs="仿宋_GB2312"/>
          <w:b w:val="0"/>
          <w:color w:val="000000"/>
          <w:sz w:val="32"/>
          <w:u w:val="none"/>
        </w:rPr>
        <w:t>出和效果：为义务教育阶段中小学生提供营养美味的膳食，保证学生健康成长发现的问题及原因：无特别说明问题下一步改进措施：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英吉沙县托甫洛克乡中学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313251"/>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3052191"/>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8C5821"/>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9962D3"/>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2021-03-05T16:15:06Z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